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75C" w:rsidRPr="00236E53" w:rsidRDefault="00FD575C" w:rsidP="00FD575C">
      <w:pPr>
        <w:spacing w:after="0" w:line="240" w:lineRule="auto"/>
        <w:rPr>
          <w:rFonts w:ascii="Arial" w:eastAsia="Times New Roman" w:hAnsi="Arial" w:cs="Arial"/>
          <w:sz w:val="20"/>
          <w:szCs w:val="20"/>
          <w:lang w:val="en-US"/>
        </w:rPr>
      </w:pPr>
      <w:bookmarkStart w:id="0" w:name="_GoBack"/>
      <w:bookmarkEnd w:id="0"/>
    </w:p>
    <w:p w:rsidR="00FD575C" w:rsidRPr="00236E53" w:rsidRDefault="00FD575C" w:rsidP="00FD575C">
      <w:pPr>
        <w:spacing w:after="0" w:line="240" w:lineRule="auto"/>
        <w:ind w:left="-342"/>
        <w:jc w:val="both"/>
        <w:rPr>
          <w:rFonts w:ascii="Arial" w:eastAsia="Times New Roman" w:hAnsi="Arial" w:cs="Arial"/>
          <w:sz w:val="20"/>
          <w:szCs w:val="20"/>
          <w:lang w:val="en-US"/>
        </w:rPr>
      </w:pPr>
    </w:p>
    <w:p w:rsidR="00FD575C" w:rsidRPr="00236E53" w:rsidRDefault="00FD575C" w:rsidP="00FD575C">
      <w:pPr>
        <w:spacing w:after="0" w:line="240" w:lineRule="auto"/>
        <w:ind w:left="-342"/>
        <w:jc w:val="both"/>
        <w:rPr>
          <w:rFonts w:ascii="Arial" w:eastAsia="Times New Roman" w:hAnsi="Arial" w:cs="Arial"/>
          <w:sz w:val="20"/>
          <w:szCs w:val="20"/>
          <w:lang w:val="en-US"/>
        </w:rPr>
      </w:pPr>
    </w:p>
    <w:p w:rsidR="00FD575C" w:rsidRPr="00236E53" w:rsidRDefault="00FD575C" w:rsidP="00FD575C">
      <w:pPr>
        <w:spacing w:after="0" w:line="240" w:lineRule="auto"/>
        <w:ind w:left="-342"/>
        <w:jc w:val="both"/>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bCs/>
          <w:sz w:val="20"/>
          <w:szCs w:val="20"/>
          <w:lang w:val="en-GB"/>
        </w:rPr>
      </w:pPr>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-573405</wp:posOffset>
                </wp:positionV>
                <wp:extent cx="5677535" cy="566420"/>
                <wp:effectExtent l="0" t="0" r="18415" b="241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566420"/>
                        </a:xfrm>
                        <a:prstGeom prst="rect">
                          <a:avLst/>
                        </a:prstGeom>
                        <a:solidFill>
                          <a:srgbClr val="FFFFFF"/>
                        </a:solidFill>
                        <a:ln w="9525">
                          <a:solidFill>
                            <a:srgbClr val="000000"/>
                          </a:solidFill>
                          <a:miter lim="800000"/>
                          <a:headEnd/>
                          <a:tailEnd/>
                        </a:ln>
                      </wps:spPr>
                      <wps:txbx>
                        <w:txbxContent>
                          <w:p w:rsidR="00FD575C" w:rsidRPr="00777211" w:rsidRDefault="00FD575C" w:rsidP="00FD575C">
                            <w:pPr>
                              <w:rPr>
                                <w:rFonts w:ascii="Arial" w:hAnsi="Arial" w:cs="Arial"/>
                                <w:b/>
                                <w:bCs/>
                                <w:color w:val="000000"/>
                                <w:sz w:val="28"/>
                              </w:rPr>
                            </w:pPr>
                            <w:r>
                              <w:rPr>
                                <w:rFonts w:ascii="Arial" w:hAnsi="Arial" w:cs="Arial"/>
                                <w:b/>
                                <w:noProof/>
                                <w:color w:val="000000"/>
                                <w:sz w:val="20"/>
                                <w:lang w:eastAsia="en-ZA"/>
                              </w:rPr>
                              <w:drawing>
                                <wp:inline distT="0" distB="0" distL="0" distR="0">
                                  <wp:extent cx="1209675" cy="371475"/>
                                  <wp:effectExtent l="0" t="0" r="9525" b="9525"/>
                                  <wp:docPr id="1" name="Picture 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letterhead-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Pr>
                                <w:rFonts w:ascii="Arial" w:hAnsi="Arial" w:cs="Arial"/>
                                <w:b/>
                                <w:bCs/>
                                <w:color w:val="000000"/>
                                <w:sz w:val="20"/>
                              </w:rPr>
                              <w:t>2</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9</w:t>
                            </w:r>
                          </w:p>
                          <w:p w:rsidR="00FD575C" w:rsidRDefault="00FD575C" w:rsidP="00FD575C"/>
                          <w:p w:rsidR="00FD575C" w:rsidRPr="00777211" w:rsidRDefault="00FD575C" w:rsidP="00FD575C">
                            <w:pP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0.55pt;margin-top:-45.15pt;width:447.05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">
                <v:textbox>
                  <w:txbxContent>
                    <w:p w:rsidR="00FD575C" w:rsidRPr="00777211" w:rsidRDefault="00FD575C" w:rsidP="00FD575C">
                      <w:pPr>
                        <w:rPr>
                          <w:rFonts w:ascii="Arial" w:hAnsi="Arial" w:cs="Arial"/>
                          <w:b/>
                          <w:bCs/>
                          <w:color w:val="000000"/>
                          <w:sz w:val="28"/>
                        </w:rPr>
                      </w:pPr>
                      <w:r>
                        <w:rPr>
                          <w:rFonts w:ascii="Arial" w:hAnsi="Arial" w:cs="Arial"/>
                          <w:b/>
                          <w:noProof/>
                          <w:color w:val="000000"/>
                          <w:sz w:val="20"/>
                          <w:lang w:eastAsia="en-ZA"/>
                        </w:rPr>
                        <w:drawing>
                          <wp:inline distT="0" distB="0" distL="0" distR="0">
                            <wp:extent cx="1209675" cy="371475"/>
                            <wp:effectExtent l="0" t="0" r="9525" b="9525"/>
                            <wp:docPr id="1" name="Picture 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letterhead-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Pr>
                          <w:rFonts w:ascii="Arial" w:hAnsi="Arial" w:cs="Arial"/>
                          <w:b/>
                          <w:bCs/>
                          <w:color w:val="000000"/>
                          <w:sz w:val="20"/>
                        </w:rPr>
                        <w:t>2</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9</w:t>
                      </w:r>
                    </w:p>
                    <w:p w:rsidR="00FD575C" w:rsidRDefault="00FD575C" w:rsidP="00FD575C"/>
                    <w:p w:rsidR="00FD575C" w:rsidRPr="00777211" w:rsidRDefault="00FD575C" w:rsidP="00FD575C">
                      <w:pPr>
                        <w:rPr>
                          <w:rFonts w:ascii="Arial" w:hAnsi="Arial" w:cs="Arial"/>
                          <w:b/>
                          <w:bCs/>
                          <w:color w:val="000000"/>
                          <w:sz w:val="28"/>
                        </w:rPr>
                      </w:pP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p>
                  </w:txbxContent>
                </v:textbox>
              </v:shape>
            </w:pict>
          </mc:Fallback>
        </mc:AlternateContent>
      </w:r>
    </w:p>
    <w:p w:rsidR="00FD575C" w:rsidRPr="00236E53" w:rsidRDefault="00FD575C" w:rsidP="00FD575C">
      <w:pPr>
        <w:spacing w:after="0" w:line="240" w:lineRule="auto"/>
        <w:ind w:left="-1026"/>
        <w:rPr>
          <w:rFonts w:ascii="Arial" w:eastAsia="Times New Roman" w:hAnsi="Arial" w:cs="Arial"/>
          <w:bCs/>
          <w:sz w:val="20"/>
          <w:szCs w:val="20"/>
          <w:lang w:val="en-GB"/>
        </w:rPr>
      </w:pPr>
    </w:p>
    <w:p w:rsidR="00FD575C" w:rsidRPr="00236E53" w:rsidRDefault="00FD575C" w:rsidP="00FD575C">
      <w:pPr>
        <w:spacing w:after="0" w:line="240" w:lineRule="auto"/>
        <w:ind w:left="-1026"/>
        <w:rPr>
          <w:rFonts w:ascii="Arial" w:eastAsia="Times New Roman" w:hAnsi="Arial" w:cs="Arial"/>
          <w:bCs/>
          <w:sz w:val="20"/>
          <w:szCs w:val="20"/>
          <w:lang w:val="en-GB"/>
        </w:rPr>
      </w:pPr>
    </w:p>
    <w:p w:rsidR="00FD575C" w:rsidRPr="00236E53" w:rsidRDefault="00FD575C" w:rsidP="00FD575C">
      <w:pPr>
        <w:spacing w:after="0" w:line="240" w:lineRule="auto"/>
        <w:ind w:left="-1026"/>
        <w:rPr>
          <w:rFonts w:ascii="Arial" w:eastAsia="Times New Roman" w:hAnsi="Arial" w:cs="Arial"/>
          <w:b/>
          <w:bCs/>
          <w:sz w:val="28"/>
          <w:szCs w:val="24"/>
          <w:lang w:val="en-GB"/>
        </w:rPr>
      </w:pPr>
      <w:r w:rsidRPr="00236E53">
        <w:rPr>
          <w:rFonts w:ascii="Arial" w:eastAsia="Times New Roman" w:hAnsi="Arial" w:cs="Arial"/>
          <w:b/>
          <w:bCs/>
          <w:sz w:val="28"/>
          <w:szCs w:val="24"/>
          <w:lang w:val="en-GB"/>
        </w:rPr>
        <w:t xml:space="preserve">OCCUPATIONAL LEVELS </w:t>
      </w:r>
    </w:p>
    <w:p w:rsidR="00FD575C" w:rsidRPr="00236E53" w:rsidRDefault="00FD575C" w:rsidP="00FD575C">
      <w:pPr>
        <w:spacing w:after="0" w:line="240" w:lineRule="auto"/>
        <w:ind w:left="-1026"/>
        <w:rPr>
          <w:rFonts w:ascii="Arial" w:eastAsia="Times New Roman" w:hAnsi="Arial" w:cs="Arial"/>
          <w:b/>
          <w:bCs/>
          <w:sz w:val="28"/>
          <w:szCs w:val="24"/>
          <w:lang w:val="en-GB"/>
        </w:rPr>
      </w:pPr>
    </w:p>
    <w:p w:rsidR="00FD575C" w:rsidRPr="00236E53" w:rsidRDefault="00FD575C" w:rsidP="00FD575C">
      <w:pPr>
        <w:spacing w:after="0" w:line="240" w:lineRule="auto"/>
        <w:ind w:left="-1026"/>
        <w:rPr>
          <w:rFonts w:ascii="Arial" w:eastAsia="Times New Roman" w:hAnsi="Arial" w:cs="Arial"/>
          <w:b/>
          <w:bCs/>
          <w:sz w:val="28"/>
          <w:szCs w:val="24"/>
          <w:lang w:val="en-GB"/>
        </w:rPr>
      </w:pPr>
    </w:p>
    <w:p w:rsidR="00FD575C" w:rsidRPr="00236E53" w:rsidRDefault="00FD575C" w:rsidP="00FD575C">
      <w:pPr>
        <w:spacing w:after="0" w:line="240" w:lineRule="auto"/>
        <w:ind w:left="-1026"/>
        <w:rPr>
          <w:rFonts w:ascii="Arial" w:eastAsia="Times New Roman" w:hAnsi="Arial" w:cs="Arial"/>
          <w:b/>
          <w:sz w:val="20"/>
          <w:szCs w:val="20"/>
          <w:lang w:val="en-US"/>
        </w:rPr>
      </w:pPr>
      <w:r w:rsidRPr="00236E53">
        <w:rPr>
          <w:rFonts w:ascii="Arial" w:eastAsia="Times New Roman" w:hAnsi="Arial" w:cs="Arial"/>
          <w:b/>
          <w:sz w:val="20"/>
          <w:szCs w:val="20"/>
          <w:lang w:val="en-US"/>
        </w:rPr>
        <w:t>WHAT IS THE PURPOSE OF THIS ANNEXURE?</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r w:rsidRPr="00236E53">
        <w:rPr>
          <w:rFonts w:ascii="Arial" w:eastAsia="Times New Roman" w:hAnsi="Arial" w:cs="Arial"/>
          <w:sz w:val="20"/>
          <w:szCs w:val="20"/>
          <w:lang w:val="en-US"/>
        </w:rPr>
        <w:t xml:space="preserve">Job evaluation or grading systems are used by many </w:t>
      </w:r>
      <w:proofErr w:type="spellStart"/>
      <w:r w:rsidRPr="00236E53">
        <w:rPr>
          <w:rFonts w:ascii="Arial" w:eastAsia="Times New Roman" w:hAnsi="Arial" w:cs="Arial"/>
          <w:sz w:val="20"/>
          <w:szCs w:val="20"/>
          <w:lang w:val="en-US"/>
        </w:rPr>
        <w:t>organi</w:t>
      </w:r>
      <w:r>
        <w:rPr>
          <w:rFonts w:ascii="Arial" w:eastAsia="Times New Roman" w:hAnsi="Arial" w:cs="Arial"/>
          <w:sz w:val="20"/>
          <w:szCs w:val="20"/>
          <w:lang w:val="en-US"/>
        </w:rPr>
        <w:t>s</w:t>
      </w:r>
      <w:r w:rsidRPr="00236E53">
        <w:rPr>
          <w:rFonts w:ascii="Arial" w:eastAsia="Times New Roman" w:hAnsi="Arial" w:cs="Arial"/>
          <w:sz w:val="20"/>
          <w:szCs w:val="20"/>
          <w:lang w:val="en-US"/>
        </w:rPr>
        <w:t>ations</w:t>
      </w:r>
      <w:proofErr w:type="spellEnd"/>
      <w:r w:rsidRPr="00236E53">
        <w:rPr>
          <w:rFonts w:ascii="Arial" w:eastAsia="Times New Roman" w:hAnsi="Arial" w:cs="Arial"/>
          <w:sz w:val="20"/>
          <w:szCs w:val="20"/>
          <w:lang w:val="en-US"/>
        </w:rPr>
        <w:t xml:space="preserve"> to measure jobs according to their content and establish the comparative worth between jobs. </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r w:rsidRPr="00236E53">
        <w:rPr>
          <w:rFonts w:ascii="Arial" w:eastAsia="Times New Roman" w:hAnsi="Arial" w:cs="Arial"/>
          <w:sz w:val="20"/>
          <w:szCs w:val="20"/>
          <w:lang w:val="en-US"/>
        </w:rPr>
        <w:t>This annexure provides a table of equivalent occupational levels that may be used by employers when completing the EEA2 and EEA4 forms.</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b/>
          <w:sz w:val="20"/>
          <w:szCs w:val="20"/>
          <w:lang w:val="en-US"/>
        </w:rPr>
      </w:pPr>
      <w:r w:rsidRPr="00236E53">
        <w:rPr>
          <w:rFonts w:ascii="Arial" w:eastAsia="Times New Roman" w:hAnsi="Arial" w:cs="Arial"/>
          <w:b/>
          <w:sz w:val="20"/>
          <w:szCs w:val="20"/>
          <w:lang w:val="en-US"/>
        </w:rPr>
        <w:t>INSTRUCTIONS</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r w:rsidRPr="00236E53">
        <w:rPr>
          <w:rFonts w:ascii="Arial" w:eastAsia="Times New Roman" w:hAnsi="Arial" w:cs="Arial"/>
          <w:sz w:val="20"/>
          <w:szCs w:val="20"/>
          <w:lang w:val="en-US"/>
        </w:rPr>
        <w:t xml:space="preserve">The table below indicates the occupational levels within </w:t>
      </w:r>
      <w:proofErr w:type="spellStart"/>
      <w:r w:rsidRPr="00236E53">
        <w:rPr>
          <w:rFonts w:ascii="Arial" w:eastAsia="Times New Roman" w:hAnsi="Arial" w:cs="Arial"/>
          <w:sz w:val="20"/>
          <w:szCs w:val="20"/>
          <w:lang w:val="en-US"/>
        </w:rPr>
        <w:t>organi</w:t>
      </w:r>
      <w:r>
        <w:rPr>
          <w:rFonts w:ascii="Arial" w:eastAsia="Times New Roman" w:hAnsi="Arial" w:cs="Arial"/>
          <w:sz w:val="20"/>
          <w:szCs w:val="20"/>
          <w:lang w:val="en-US"/>
        </w:rPr>
        <w:t>s</w:t>
      </w:r>
      <w:r w:rsidRPr="00236E53">
        <w:rPr>
          <w:rFonts w:ascii="Arial" w:eastAsia="Times New Roman" w:hAnsi="Arial" w:cs="Arial"/>
          <w:sz w:val="20"/>
          <w:szCs w:val="20"/>
          <w:lang w:val="en-US"/>
        </w:rPr>
        <w:t>ations</w:t>
      </w:r>
      <w:proofErr w:type="spellEnd"/>
      <w:r w:rsidRPr="00236E53">
        <w:rPr>
          <w:rFonts w:ascii="Arial" w:eastAsia="Times New Roman" w:hAnsi="Arial" w:cs="Arial"/>
          <w:sz w:val="20"/>
          <w:szCs w:val="20"/>
          <w:lang w:val="en-US"/>
        </w:rPr>
        <w:t xml:space="preserve"> as developed through the use of different job evaluation or grad</w:t>
      </w:r>
      <w:r>
        <w:rPr>
          <w:rFonts w:ascii="Arial" w:eastAsia="Times New Roman" w:hAnsi="Arial" w:cs="Arial"/>
          <w:sz w:val="20"/>
          <w:szCs w:val="20"/>
          <w:lang w:val="en-US"/>
        </w:rPr>
        <w:t xml:space="preserve">ing systems. </w:t>
      </w:r>
      <w:r w:rsidRPr="00236E53">
        <w:rPr>
          <w:rFonts w:ascii="Arial" w:eastAsia="Times New Roman" w:hAnsi="Arial" w:cs="Arial"/>
          <w:sz w:val="20"/>
          <w:szCs w:val="20"/>
          <w:lang w:val="en-US"/>
        </w:rPr>
        <w:t>The table provides equivalent levels from each of these job evaluation systems.</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proofErr w:type="spellStart"/>
      <w:r w:rsidRPr="00236E53">
        <w:rPr>
          <w:rFonts w:ascii="Arial" w:eastAsia="Times New Roman" w:hAnsi="Arial" w:cs="Arial"/>
          <w:sz w:val="20"/>
          <w:szCs w:val="20"/>
          <w:lang w:val="en-US"/>
        </w:rPr>
        <w:t>Organisations</w:t>
      </w:r>
      <w:proofErr w:type="spellEnd"/>
      <w:r w:rsidRPr="00236E53">
        <w:rPr>
          <w:rFonts w:ascii="Arial" w:eastAsia="Times New Roman" w:hAnsi="Arial" w:cs="Arial"/>
          <w:sz w:val="20"/>
          <w:szCs w:val="20"/>
          <w:lang w:val="en-US"/>
        </w:rPr>
        <w:t xml:space="preserve"> that do not have job evaluation and grading systems should use the table below for guidance to determine the occupational levels in their </w:t>
      </w:r>
      <w:proofErr w:type="spellStart"/>
      <w:r w:rsidRPr="00236E53">
        <w:rPr>
          <w:rFonts w:ascii="Arial" w:eastAsia="Times New Roman" w:hAnsi="Arial" w:cs="Arial"/>
          <w:sz w:val="20"/>
          <w:szCs w:val="20"/>
          <w:lang w:val="en-US"/>
        </w:rPr>
        <w:t>organisations</w:t>
      </w:r>
      <w:proofErr w:type="spellEnd"/>
      <w:r w:rsidRPr="00236E53">
        <w:rPr>
          <w:rFonts w:ascii="Arial" w:eastAsia="Times New Roman" w:hAnsi="Arial" w:cs="Arial"/>
          <w:sz w:val="20"/>
          <w:szCs w:val="20"/>
          <w:lang w:val="en-US"/>
        </w:rPr>
        <w:t>.</w:t>
      </w: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sz w:val="20"/>
          <w:szCs w:val="20"/>
          <w:lang w:val="en-US"/>
        </w:rPr>
      </w:pPr>
    </w:p>
    <w:p w:rsidR="00FD575C" w:rsidRPr="00236E53" w:rsidRDefault="00FD575C" w:rsidP="00FD575C">
      <w:pPr>
        <w:spacing w:after="0" w:line="240" w:lineRule="auto"/>
        <w:ind w:left="-1026"/>
        <w:rPr>
          <w:rFonts w:ascii="Arial" w:eastAsia="Times New Roman" w:hAnsi="Arial" w:cs="Arial"/>
          <w:b/>
          <w:lang w:val="en-US"/>
        </w:rPr>
        <w:sectPr w:rsidR="00FD575C" w:rsidRPr="00236E53" w:rsidSect="0061051F">
          <w:pgSz w:w="11906" w:h="16838" w:code="9"/>
          <w:pgMar w:top="1440" w:right="1797" w:bottom="1440" w:left="1797" w:header="709" w:footer="709" w:gutter="0"/>
          <w:cols w:space="708"/>
          <w:docGrid w:linePitch="360"/>
        </w:sectPr>
      </w:pPr>
    </w:p>
    <w:tbl>
      <w:tblPr>
        <w:tblpPr w:leftFromText="180" w:rightFromText="180" w:vertAnchor="page" w:horzAnchor="margin" w:tblpY="1423"/>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001"/>
        <w:gridCol w:w="992"/>
        <w:gridCol w:w="1134"/>
        <w:gridCol w:w="993"/>
        <w:gridCol w:w="992"/>
        <w:gridCol w:w="992"/>
        <w:gridCol w:w="851"/>
        <w:gridCol w:w="992"/>
        <w:gridCol w:w="5103"/>
      </w:tblGrid>
      <w:tr w:rsidR="00FD575C" w:rsidRPr="00236E53" w:rsidTr="00373E0D">
        <w:trPr>
          <w:trHeight w:val="310"/>
        </w:trPr>
        <w:tc>
          <w:tcPr>
            <w:tcW w:w="1835"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lastRenderedPageBreak/>
              <w:t>OCCUPATIONAL</w:t>
            </w:r>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LEVELS</w:t>
            </w:r>
          </w:p>
        </w:tc>
        <w:tc>
          <w:tcPr>
            <w:tcW w:w="1001"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Paterson Classic</w:t>
            </w:r>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(levels)</w:t>
            </w:r>
          </w:p>
        </w:tc>
        <w:tc>
          <w:tcPr>
            <w:tcW w:w="992"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Paterson Modern</w:t>
            </w:r>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(bands)</w:t>
            </w:r>
          </w:p>
        </w:tc>
        <w:tc>
          <w:tcPr>
            <w:tcW w:w="1134" w:type="dxa"/>
            <w:vAlign w:val="center"/>
          </w:tcPr>
          <w:p w:rsidR="00FD575C" w:rsidRPr="00236E53" w:rsidRDefault="00FD575C" w:rsidP="00373E0D">
            <w:pPr>
              <w:spacing w:after="0" w:line="240" w:lineRule="auto"/>
              <w:rPr>
                <w:rFonts w:ascii="Arial" w:eastAsia="Times New Roman" w:hAnsi="Arial" w:cs="Arial"/>
                <w:b/>
                <w:sz w:val="16"/>
                <w:szCs w:val="16"/>
                <w:lang w:val="en-US"/>
              </w:rPr>
            </w:pPr>
            <w:proofErr w:type="spellStart"/>
            <w:r w:rsidRPr="00236E53">
              <w:rPr>
                <w:rFonts w:ascii="Arial" w:eastAsia="Times New Roman" w:hAnsi="Arial" w:cs="Arial"/>
                <w:b/>
                <w:sz w:val="16"/>
                <w:szCs w:val="16"/>
                <w:lang w:val="en-US"/>
              </w:rPr>
              <w:t>ReMeasure</w:t>
            </w:r>
            <w:proofErr w:type="spellEnd"/>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©(points)</w:t>
            </w:r>
          </w:p>
        </w:tc>
        <w:tc>
          <w:tcPr>
            <w:tcW w:w="993"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Hay Units</w:t>
            </w:r>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©(points)</w:t>
            </w:r>
          </w:p>
        </w:tc>
        <w:tc>
          <w:tcPr>
            <w:tcW w:w="992"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Hay Decision Tree (© points)</w:t>
            </w:r>
          </w:p>
        </w:tc>
        <w:tc>
          <w:tcPr>
            <w:tcW w:w="992" w:type="dxa"/>
            <w:vAlign w:val="center"/>
          </w:tcPr>
          <w:p w:rsidR="00FD575C" w:rsidRPr="00236E53" w:rsidRDefault="00FD575C" w:rsidP="00373E0D">
            <w:pPr>
              <w:spacing w:after="0" w:line="240" w:lineRule="auto"/>
              <w:rPr>
                <w:rFonts w:ascii="Arial" w:eastAsia="Times New Roman" w:hAnsi="Arial" w:cs="Arial"/>
                <w:b/>
                <w:sz w:val="16"/>
                <w:szCs w:val="16"/>
                <w:lang w:val="en-US"/>
              </w:rPr>
            </w:pPr>
            <w:proofErr w:type="spellStart"/>
            <w:r w:rsidRPr="00236E53">
              <w:rPr>
                <w:rFonts w:ascii="Arial" w:eastAsia="Times New Roman" w:hAnsi="Arial" w:cs="Arial"/>
                <w:b/>
                <w:sz w:val="16"/>
                <w:szCs w:val="16"/>
                <w:lang w:val="en-US"/>
              </w:rPr>
              <w:t>Peromnes</w:t>
            </w:r>
            <w:proofErr w:type="spellEnd"/>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©(points)</w:t>
            </w:r>
          </w:p>
        </w:tc>
        <w:tc>
          <w:tcPr>
            <w:tcW w:w="851" w:type="dxa"/>
            <w:vAlign w:val="center"/>
          </w:tcPr>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Task © (levels)</w:t>
            </w:r>
          </w:p>
        </w:tc>
        <w:tc>
          <w:tcPr>
            <w:tcW w:w="992" w:type="dxa"/>
            <w:vAlign w:val="center"/>
          </w:tcPr>
          <w:p w:rsidR="00FD575C" w:rsidRPr="00236E53" w:rsidRDefault="00FD575C" w:rsidP="00373E0D">
            <w:pPr>
              <w:spacing w:after="0" w:line="240" w:lineRule="auto"/>
              <w:rPr>
                <w:rFonts w:ascii="Arial" w:eastAsia="Times New Roman" w:hAnsi="Arial" w:cs="Arial"/>
                <w:b/>
                <w:sz w:val="16"/>
                <w:szCs w:val="16"/>
                <w:lang w:val="en-US"/>
              </w:rPr>
            </w:pPr>
            <w:proofErr w:type="spellStart"/>
            <w:r w:rsidRPr="00236E53">
              <w:rPr>
                <w:rFonts w:ascii="Arial" w:eastAsia="Times New Roman" w:hAnsi="Arial" w:cs="Arial"/>
                <w:b/>
                <w:sz w:val="16"/>
                <w:szCs w:val="16"/>
                <w:lang w:val="en-US"/>
              </w:rPr>
              <w:t>JEasy</w:t>
            </w:r>
            <w:proofErr w:type="spellEnd"/>
            <w:r w:rsidRPr="00236E53">
              <w:rPr>
                <w:rFonts w:ascii="Arial" w:eastAsia="Times New Roman" w:hAnsi="Arial" w:cs="Arial"/>
                <w:b/>
                <w:sz w:val="16"/>
                <w:szCs w:val="16"/>
                <w:lang w:val="en-US"/>
              </w:rPr>
              <w:t xml:space="preserve"> ©</w:t>
            </w:r>
          </w:p>
          <w:p w:rsidR="00FD575C" w:rsidRPr="00236E53" w:rsidRDefault="00FD575C" w:rsidP="00373E0D">
            <w:pPr>
              <w:spacing w:after="0" w:line="240" w:lineRule="auto"/>
              <w:rPr>
                <w:rFonts w:ascii="Arial" w:eastAsia="Times New Roman" w:hAnsi="Arial" w:cs="Arial"/>
                <w:b/>
                <w:sz w:val="16"/>
                <w:szCs w:val="16"/>
                <w:lang w:val="en-US"/>
              </w:rPr>
            </w:pPr>
            <w:r w:rsidRPr="00236E53">
              <w:rPr>
                <w:rFonts w:ascii="Arial" w:eastAsia="Times New Roman" w:hAnsi="Arial" w:cs="Arial"/>
                <w:b/>
                <w:sz w:val="16"/>
                <w:szCs w:val="16"/>
                <w:lang w:val="en-US"/>
              </w:rPr>
              <w:t>(levels)</w:t>
            </w:r>
          </w:p>
        </w:tc>
        <w:tc>
          <w:tcPr>
            <w:tcW w:w="5103" w:type="dxa"/>
            <w:vAlign w:val="center"/>
          </w:tcPr>
          <w:p w:rsidR="00FD575C" w:rsidRPr="00236E53" w:rsidRDefault="00FD575C" w:rsidP="00373E0D">
            <w:pPr>
              <w:spacing w:after="0" w:line="240" w:lineRule="auto"/>
              <w:jc w:val="center"/>
              <w:rPr>
                <w:rFonts w:ascii="Arial" w:eastAsia="Times New Roman" w:hAnsi="Arial" w:cs="Arial"/>
                <w:b/>
                <w:sz w:val="16"/>
                <w:szCs w:val="16"/>
                <w:lang w:val="en-US"/>
              </w:rPr>
            </w:pPr>
            <w:r w:rsidRPr="00236E53">
              <w:rPr>
                <w:rFonts w:ascii="Arial" w:eastAsia="Times New Roman" w:hAnsi="Arial" w:cs="Arial"/>
                <w:b/>
                <w:sz w:val="16"/>
                <w:szCs w:val="16"/>
                <w:lang w:val="en-US"/>
              </w:rPr>
              <w:t>DESCRIPTION</w:t>
            </w:r>
          </w:p>
        </w:tc>
      </w:tr>
      <w:tr w:rsidR="00FD575C" w:rsidRPr="00236E53" w:rsidTr="00373E0D">
        <w:trPr>
          <w:trHeight w:val="89"/>
        </w:trPr>
        <w:tc>
          <w:tcPr>
            <w:tcW w:w="1835" w:type="dxa"/>
            <w:shd w:val="clear" w:color="auto" w:fill="BFBFBF"/>
            <w:vAlign w:val="center"/>
          </w:tcPr>
          <w:p w:rsidR="00FD575C" w:rsidRPr="00236E53" w:rsidRDefault="00FD575C" w:rsidP="00373E0D">
            <w:pPr>
              <w:spacing w:after="0" w:line="240" w:lineRule="auto"/>
              <w:rPr>
                <w:rFonts w:ascii="Arial" w:eastAsia="Times New Roman" w:hAnsi="Arial" w:cs="Arial"/>
                <w:sz w:val="16"/>
                <w:szCs w:val="16"/>
                <w:lang w:val="en-US"/>
              </w:rPr>
            </w:pPr>
          </w:p>
        </w:tc>
        <w:tc>
          <w:tcPr>
            <w:tcW w:w="1001"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1134"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3"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851"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shd w:val="clear" w:color="auto" w:fill="BFBFBF"/>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5103" w:type="dxa"/>
            <w:shd w:val="clear" w:color="auto" w:fill="BFBFBF"/>
            <w:vAlign w:val="center"/>
          </w:tcPr>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384"/>
        </w:trPr>
        <w:tc>
          <w:tcPr>
            <w:tcW w:w="1835" w:type="dxa"/>
            <w:vMerge w:val="restart"/>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Top Management/</w:t>
            </w:r>
          </w:p>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Executives</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F+1 – F+5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G Band</w:t>
            </w:r>
            <w:r w:rsidRPr="00236E53">
              <w:rPr>
                <w:rFonts w:ascii="Arial" w:eastAsia="Times New Roman" w:hAnsi="Arial" w:cs="Arial"/>
                <w:sz w:val="16"/>
                <w:szCs w:val="16"/>
                <w:vertAlign w:val="superscript"/>
                <w:lang w:val="en-US"/>
              </w:rPr>
              <w:footnoteReference w:id="1"/>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300-349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3581-7160</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p>
        </w:tc>
        <w:tc>
          <w:tcPr>
            <w:tcW w:w="5103" w:type="dxa"/>
            <w:vMerge w:val="restart"/>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Controls the functional integration of the business. Determines the overall strategy and objectives of the business. Directs the company into the future. The nature of the work and focus is long-term. Sign-off on policy or strategy</w:t>
            </w:r>
          </w:p>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653"/>
        </w:trPr>
        <w:tc>
          <w:tcPr>
            <w:tcW w:w="1835" w:type="dxa"/>
            <w:vMerge/>
            <w:vAlign w:val="center"/>
          </w:tcPr>
          <w:p w:rsidR="00FD575C" w:rsidRPr="00236E53" w:rsidRDefault="00FD575C" w:rsidP="00373E0D">
            <w:pPr>
              <w:spacing w:after="0" w:line="240" w:lineRule="auto"/>
              <w:rPr>
                <w:rFonts w:ascii="Arial" w:eastAsia="Times New Roman" w:hAnsi="Arial" w:cs="Arial"/>
                <w:sz w:val="16"/>
                <w:szCs w:val="16"/>
                <w:lang w:val="en-US"/>
              </w:rPr>
            </w:pP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F1 – F5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F Lower-F Upper</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250-299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1801-3580</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225-275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 to 1+</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23-26</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6a-6e</w:t>
            </w:r>
          </w:p>
        </w:tc>
        <w:tc>
          <w:tcPr>
            <w:tcW w:w="5103" w:type="dxa"/>
            <w:vMerge/>
            <w:vAlign w:val="center"/>
          </w:tcPr>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1398"/>
        </w:trPr>
        <w:tc>
          <w:tcPr>
            <w:tcW w:w="1835"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Senior Management</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E1-E5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E Lower-E Upper</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200-249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735-1800</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175-224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4-2</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18-22</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5a-5e</w:t>
            </w:r>
          </w:p>
        </w:tc>
        <w:tc>
          <w:tcPr>
            <w:tcW w:w="5103"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 xml:space="preserve">Knowledge of entire business area/BU/company or group. Provide inputs for/formulation of the overall </w:t>
            </w:r>
            <w:proofErr w:type="spellStart"/>
            <w:r w:rsidRPr="00236E53">
              <w:rPr>
                <w:rFonts w:ascii="Arial" w:eastAsia="Times New Roman" w:hAnsi="Arial" w:cs="Arial"/>
                <w:sz w:val="16"/>
                <w:szCs w:val="16"/>
                <w:lang w:val="en-US"/>
              </w:rPr>
              <w:t>Organisational</w:t>
            </w:r>
            <w:proofErr w:type="spellEnd"/>
            <w:r w:rsidRPr="00236E53">
              <w:rPr>
                <w:rFonts w:ascii="Arial" w:eastAsia="Times New Roman" w:hAnsi="Arial" w:cs="Arial"/>
                <w:sz w:val="16"/>
                <w:szCs w:val="16"/>
                <w:lang w:val="en-US"/>
              </w:rPr>
              <w:t xml:space="preserve"> strategy. Translates the overall strategy into business plans for BU/Functi</w:t>
            </w:r>
            <w:r>
              <w:rPr>
                <w:rFonts w:ascii="Arial" w:eastAsia="Times New Roman" w:hAnsi="Arial" w:cs="Arial"/>
                <w:sz w:val="16"/>
                <w:szCs w:val="16"/>
                <w:lang w:val="en-US"/>
              </w:rPr>
              <w:t xml:space="preserve">onal Unit, thereby </w:t>
            </w:r>
            <w:proofErr w:type="spellStart"/>
            <w:r>
              <w:rPr>
                <w:rFonts w:ascii="Arial" w:eastAsia="Times New Roman" w:hAnsi="Arial" w:cs="Arial"/>
                <w:sz w:val="16"/>
                <w:szCs w:val="16"/>
                <w:lang w:val="en-US"/>
              </w:rPr>
              <w:t>operationalis</w:t>
            </w:r>
            <w:r w:rsidRPr="00236E53">
              <w:rPr>
                <w:rFonts w:ascii="Arial" w:eastAsia="Times New Roman" w:hAnsi="Arial" w:cs="Arial"/>
                <w:sz w:val="16"/>
                <w:szCs w:val="16"/>
                <w:lang w:val="en-US"/>
              </w:rPr>
              <w:t>ing</w:t>
            </w:r>
            <w:proofErr w:type="spellEnd"/>
            <w:r w:rsidRPr="00236E53">
              <w:rPr>
                <w:rFonts w:ascii="Arial" w:eastAsia="Times New Roman" w:hAnsi="Arial" w:cs="Arial"/>
                <w:sz w:val="16"/>
                <w:szCs w:val="16"/>
                <w:lang w:val="en-US"/>
              </w:rPr>
              <w:t xml:space="preserve"> </w:t>
            </w:r>
            <w:proofErr w:type="spellStart"/>
            <w:r>
              <w:rPr>
                <w:rFonts w:ascii="Arial" w:eastAsia="Times New Roman" w:hAnsi="Arial" w:cs="Arial"/>
                <w:sz w:val="16"/>
                <w:szCs w:val="16"/>
                <w:lang w:val="en-US"/>
              </w:rPr>
              <w:t>organisation</w:t>
            </w:r>
            <w:r w:rsidRPr="00236E53">
              <w:rPr>
                <w:rFonts w:ascii="Arial" w:eastAsia="Times New Roman" w:hAnsi="Arial" w:cs="Arial"/>
                <w:sz w:val="16"/>
                <w:szCs w:val="16"/>
                <w:lang w:val="en-US"/>
              </w:rPr>
              <w:t>al</w:t>
            </w:r>
            <w:proofErr w:type="spellEnd"/>
            <w:r w:rsidRPr="00236E53">
              <w:rPr>
                <w:rFonts w:ascii="Arial" w:eastAsia="Times New Roman" w:hAnsi="Arial" w:cs="Arial"/>
                <w:sz w:val="16"/>
                <w:szCs w:val="16"/>
                <w:lang w:val="en-US"/>
              </w:rPr>
              <w:t xml:space="preserve"> strategy. Implements and manages business plan, goals and objectives and ensures the achievement of overall key </w:t>
            </w:r>
            <w:proofErr w:type="spellStart"/>
            <w:r w:rsidRPr="00236E53">
              <w:rPr>
                <w:rFonts w:ascii="Arial" w:eastAsia="Times New Roman" w:hAnsi="Arial" w:cs="Arial"/>
                <w:sz w:val="16"/>
                <w:szCs w:val="16"/>
                <w:lang w:val="en-US"/>
              </w:rPr>
              <w:t>Organisational</w:t>
            </w:r>
            <w:proofErr w:type="spellEnd"/>
            <w:r w:rsidRPr="00236E53">
              <w:rPr>
                <w:rFonts w:ascii="Arial" w:eastAsia="Times New Roman" w:hAnsi="Arial" w:cs="Arial"/>
                <w:sz w:val="16"/>
                <w:szCs w:val="16"/>
                <w:lang w:val="en-US"/>
              </w:rPr>
              <w:t>/BU/Functional outputs. Manages the development of innovation and change</w:t>
            </w:r>
          </w:p>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1190"/>
        </w:trPr>
        <w:tc>
          <w:tcPr>
            <w:tcW w:w="1835"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 xml:space="preserve">Professionally Qualified &amp; experienced specialists/mid-management </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D1-D5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D Lower-D Upper</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150-199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371-734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125-174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7-4</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14-18</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4a-4e</w:t>
            </w:r>
          </w:p>
        </w:tc>
        <w:tc>
          <w:tcPr>
            <w:tcW w:w="5103"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 xml:space="preserve">Professional knowledge of sub-discipline or discipline. Provide input in the formulation of </w:t>
            </w:r>
            <w:proofErr w:type="spellStart"/>
            <w:r w:rsidRPr="00236E53">
              <w:rPr>
                <w:rFonts w:ascii="Arial" w:eastAsia="Times New Roman" w:hAnsi="Arial" w:cs="Arial"/>
                <w:sz w:val="16"/>
                <w:szCs w:val="16"/>
                <w:lang w:val="en-US"/>
              </w:rPr>
              <w:t>Organisational</w:t>
            </w:r>
            <w:proofErr w:type="spellEnd"/>
            <w:r w:rsidRPr="00236E53">
              <w:rPr>
                <w:rFonts w:ascii="Arial" w:eastAsia="Times New Roman" w:hAnsi="Arial" w:cs="Arial"/>
                <w:sz w:val="16"/>
                <w:szCs w:val="16"/>
                <w:lang w:val="en-US"/>
              </w:rPr>
              <w:t xml:space="preserve">/Functional Unit business plans. Formulate and implement departmental/team plans that will support the BU business plans. </w:t>
            </w:r>
            <w:proofErr w:type="spellStart"/>
            <w:r w:rsidRPr="00236E53">
              <w:rPr>
                <w:rFonts w:ascii="Arial" w:eastAsia="Times New Roman" w:hAnsi="Arial" w:cs="Arial"/>
                <w:sz w:val="16"/>
                <w:szCs w:val="16"/>
                <w:lang w:val="en-US"/>
              </w:rPr>
              <w:t>Optimisation</w:t>
            </w:r>
            <w:proofErr w:type="spellEnd"/>
            <w:r w:rsidRPr="00236E53">
              <w:rPr>
                <w:rFonts w:ascii="Arial" w:eastAsia="Times New Roman" w:hAnsi="Arial" w:cs="Arial"/>
                <w:sz w:val="16"/>
                <w:szCs w:val="16"/>
                <w:lang w:val="en-US"/>
              </w:rPr>
              <w:t xml:space="preserve"> of resources (finances, people, material, information and technology) to achieve given objectives in most productive and cost effective way. </w:t>
            </w:r>
          </w:p>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1181"/>
        </w:trPr>
        <w:tc>
          <w:tcPr>
            <w:tcW w:w="1835"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Skilled Technical &amp; Academically Qualified/ Junior Management/</w:t>
            </w:r>
          </w:p>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Supervisors/</w:t>
            </w:r>
          </w:p>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Foremen/</w:t>
            </w:r>
          </w:p>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Superintendents</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C1-C5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C Lower-C Upper</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100-149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192-370</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75-124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11-7</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9-13</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3a-3e</w:t>
            </w:r>
          </w:p>
        </w:tc>
        <w:tc>
          <w:tcPr>
            <w:tcW w:w="5103" w:type="dxa"/>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Applies broad knowledge of products, techniques and processes. Evaluates procedures and applies previous experience. A good solution can usually be found. Determines own priorities. What has to be done is stipulated; but may require initiative in terms of how it should be done</w:t>
            </w:r>
          </w:p>
        </w:tc>
      </w:tr>
      <w:tr w:rsidR="00FD575C" w:rsidRPr="00236E53" w:rsidTr="00373E0D">
        <w:trPr>
          <w:trHeight w:val="294"/>
        </w:trPr>
        <w:tc>
          <w:tcPr>
            <w:tcW w:w="1835"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Semi-Skilled &amp; discretionary decision-making</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B1-B5</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B Lower-B Upper</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50-99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85-191</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25-74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15-11</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4-8</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2a-2e</w:t>
            </w:r>
          </w:p>
        </w:tc>
        <w:tc>
          <w:tcPr>
            <w:tcW w:w="5103"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Accountable for direct product, process or service quality. Incremental improvement of existing processes and procedures according to clear guidelines. Choosing of correct action on the basis of set standards, training procedures and past experience</w:t>
            </w:r>
          </w:p>
          <w:p w:rsidR="00FD575C" w:rsidRPr="00236E53" w:rsidRDefault="00FD575C" w:rsidP="00373E0D">
            <w:pPr>
              <w:spacing w:after="0" w:line="240" w:lineRule="auto"/>
              <w:rPr>
                <w:rFonts w:ascii="Arial" w:eastAsia="Times New Roman" w:hAnsi="Arial" w:cs="Arial"/>
                <w:sz w:val="16"/>
                <w:szCs w:val="16"/>
                <w:lang w:val="en-US"/>
              </w:rPr>
            </w:pPr>
          </w:p>
        </w:tc>
      </w:tr>
      <w:tr w:rsidR="00FD575C" w:rsidRPr="00236E53" w:rsidTr="00373E0D">
        <w:trPr>
          <w:trHeight w:val="310"/>
        </w:trPr>
        <w:tc>
          <w:tcPr>
            <w:tcW w:w="1835"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Unskilled &amp; defined decision-making</w:t>
            </w:r>
          </w:p>
        </w:tc>
        <w:tc>
          <w:tcPr>
            <w:tcW w:w="100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A1-A3</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A</w:t>
            </w:r>
          </w:p>
        </w:tc>
        <w:tc>
          <w:tcPr>
            <w:tcW w:w="1134"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20-49</w:t>
            </w:r>
          </w:p>
        </w:tc>
        <w:tc>
          <w:tcPr>
            <w:tcW w:w="993"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54-84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0-24</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19-16</w:t>
            </w:r>
          </w:p>
        </w:tc>
        <w:tc>
          <w:tcPr>
            <w:tcW w:w="851"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1-3</w:t>
            </w:r>
          </w:p>
        </w:tc>
        <w:tc>
          <w:tcPr>
            <w:tcW w:w="992" w:type="dxa"/>
            <w:vAlign w:val="center"/>
          </w:tcPr>
          <w:p w:rsidR="00FD575C" w:rsidRPr="00236E53" w:rsidRDefault="00FD575C" w:rsidP="00373E0D">
            <w:pPr>
              <w:spacing w:after="0" w:line="240" w:lineRule="auto"/>
              <w:jc w:val="center"/>
              <w:rPr>
                <w:rFonts w:ascii="Arial" w:eastAsia="Times New Roman" w:hAnsi="Arial" w:cs="Arial"/>
                <w:sz w:val="16"/>
                <w:szCs w:val="16"/>
                <w:lang w:val="en-US"/>
              </w:rPr>
            </w:pPr>
            <w:r w:rsidRPr="00236E53">
              <w:rPr>
                <w:rFonts w:ascii="Arial" w:eastAsia="Times New Roman" w:hAnsi="Arial" w:cs="Arial"/>
                <w:sz w:val="16"/>
                <w:szCs w:val="16"/>
                <w:lang w:val="en-US"/>
              </w:rPr>
              <w:t>1a-1c</w:t>
            </w:r>
          </w:p>
        </w:tc>
        <w:tc>
          <w:tcPr>
            <w:tcW w:w="5103" w:type="dxa"/>
            <w:vAlign w:val="center"/>
          </w:tcPr>
          <w:p w:rsidR="00FD575C" w:rsidRPr="00236E53" w:rsidRDefault="00FD575C" w:rsidP="00373E0D">
            <w:pPr>
              <w:spacing w:after="0" w:line="240" w:lineRule="auto"/>
              <w:rPr>
                <w:rFonts w:ascii="Arial" w:eastAsia="Times New Roman" w:hAnsi="Arial" w:cs="Arial"/>
                <w:sz w:val="16"/>
                <w:szCs w:val="16"/>
                <w:lang w:val="en-US"/>
              </w:rPr>
            </w:pPr>
            <w:r w:rsidRPr="00236E53">
              <w:rPr>
                <w:rFonts w:ascii="Arial" w:eastAsia="Times New Roman" w:hAnsi="Arial" w:cs="Arial"/>
                <w:sz w:val="16"/>
                <w:szCs w:val="16"/>
                <w:lang w:val="en-US"/>
              </w:rPr>
              <w:t>Steps to accomplish work or processes are clearly defined and understood. Tasks are sometimes repetitive and uncomplicated and the work cycle is short</w:t>
            </w:r>
          </w:p>
          <w:p w:rsidR="00FD575C" w:rsidRPr="00236E53" w:rsidRDefault="00FD575C" w:rsidP="00373E0D">
            <w:pPr>
              <w:spacing w:after="0" w:line="240" w:lineRule="auto"/>
              <w:rPr>
                <w:rFonts w:ascii="Arial" w:eastAsia="Times New Roman" w:hAnsi="Arial" w:cs="Arial"/>
                <w:sz w:val="16"/>
                <w:szCs w:val="16"/>
                <w:lang w:val="en-US"/>
              </w:rPr>
            </w:pPr>
          </w:p>
        </w:tc>
      </w:tr>
    </w:tbl>
    <w:p w:rsidR="00FD575C" w:rsidRPr="00236E53" w:rsidRDefault="00FD575C" w:rsidP="00FD575C">
      <w:pPr>
        <w:spacing w:after="0" w:line="240" w:lineRule="auto"/>
        <w:rPr>
          <w:rFonts w:ascii="Arial" w:eastAsia="Times New Roman" w:hAnsi="Arial" w:cs="Arial"/>
          <w:szCs w:val="24"/>
          <w:lang w:val="en-US"/>
        </w:rPr>
        <w:sectPr w:rsidR="00FD575C" w:rsidRPr="00236E53" w:rsidSect="0061051F">
          <w:pgSz w:w="16838" w:h="11906" w:orient="landscape" w:code="9"/>
          <w:pgMar w:top="567" w:right="1440" w:bottom="567" w:left="1134" w:header="709" w:footer="709" w:gutter="0"/>
          <w:cols w:space="708"/>
          <w:docGrid w:linePitch="360"/>
        </w:sectPr>
      </w:pPr>
      <w:r>
        <w:rPr>
          <w:noProof/>
          <w:lang w:eastAsia="en-ZA"/>
        </w:rPr>
        <mc:AlternateContent>
          <mc:Choice Requires="wps">
            <w:drawing>
              <wp:anchor distT="0" distB="0" distL="114300" distR="114300" simplePos="0" relativeHeight="251660288" behindDoc="0" locked="0" layoutInCell="1" allowOverlap="1" wp14:anchorId="08C2EB36" wp14:editId="38C623A6">
                <wp:simplePos x="0" y="0"/>
                <wp:positionH relativeFrom="column">
                  <wp:posOffset>8770620</wp:posOffset>
                </wp:positionH>
                <wp:positionV relativeFrom="paragraph">
                  <wp:posOffset>-51435</wp:posOffset>
                </wp:positionV>
                <wp:extent cx="941070" cy="270510"/>
                <wp:effectExtent l="0" t="0" r="11430" b="152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70510"/>
                        </a:xfrm>
                        <a:prstGeom prst="rect">
                          <a:avLst/>
                        </a:prstGeom>
                        <a:solidFill>
                          <a:srgbClr val="FFFFFF"/>
                        </a:solidFill>
                        <a:ln w="9525">
                          <a:solidFill>
                            <a:srgbClr val="000000"/>
                          </a:solidFill>
                          <a:miter lim="800000"/>
                          <a:headEnd/>
                          <a:tailEnd/>
                        </a:ln>
                      </wps:spPr>
                      <wps:txbx>
                        <w:txbxContent>
                          <w:p w:rsidR="00FD575C" w:rsidRPr="005B0D5A" w:rsidRDefault="00FD575C" w:rsidP="00FD575C">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rsidR="00FD575C" w:rsidRDefault="00FD575C" w:rsidP="00FD575C"/>
                          <w:p w:rsidR="00FD575C" w:rsidRPr="005B0D5A" w:rsidRDefault="00FD575C" w:rsidP="00FD575C">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690.6pt;margin-top:-4.05pt;width:74.1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">
                <v:textbox>
                  <w:txbxContent>
                    <w:p w:rsidR="00FD575C" w:rsidRPr="005B0D5A" w:rsidRDefault="00FD575C" w:rsidP="00FD575C">
                      <w:pPr>
                        <w:rPr>
                          <w:rFonts w:ascii="Arial" w:hAnsi="Arial" w:cs="Arial"/>
                          <w:b/>
                          <w:color w:val="000000"/>
                          <w:sz w:val="16"/>
                          <w:szCs w:val="16"/>
                        </w:rPr>
                      </w:pPr>
                      <w:r>
                        <w:rPr>
                          <w:rFonts w:ascii="Arial" w:hAnsi="Arial" w:cs="Arial"/>
                          <w:b/>
                          <w:color w:val="000000"/>
                          <w:sz w:val="16"/>
                          <w:szCs w:val="16"/>
                        </w:rPr>
                        <w:t>2</w:t>
                      </w:r>
                      <w:r w:rsidRPr="005B0D5A">
                        <w:rPr>
                          <w:rFonts w:ascii="Arial" w:hAnsi="Arial" w:cs="Arial"/>
                          <w:b/>
                          <w:color w:val="000000"/>
                          <w:sz w:val="16"/>
                          <w:szCs w:val="16"/>
                        </w:rPr>
                        <w:t xml:space="preserve"> of </w:t>
                      </w:r>
                      <w:r>
                        <w:rPr>
                          <w:rFonts w:ascii="Arial" w:hAnsi="Arial" w:cs="Arial"/>
                          <w:b/>
                          <w:color w:val="000000"/>
                          <w:sz w:val="16"/>
                          <w:szCs w:val="16"/>
                        </w:rPr>
                        <w:t>2</w:t>
                      </w:r>
                      <w:r w:rsidRPr="005B0D5A">
                        <w:rPr>
                          <w:rFonts w:ascii="Arial" w:hAnsi="Arial" w:cs="Arial"/>
                          <w:b/>
                          <w:color w:val="000000"/>
                          <w:sz w:val="16"/>
                          <w:szCs w:val="16"/>
                        </w:rPr>
                        <w:tab/>
                        <w:t>EEA</w:t>
                      </w:r>
                      <w:r>
                        <w:rPr>
                          <w:rFonts w:ascii="Arial" w:hAnsi="Arial" w:cs="Arial"/>
                          <w:b/>
                          <w:color w:val="000000"/>
                          <w:sz w:val="16"/>
                          <w:szCs w:val="16"/>
                        </w:rPr>
                        <w:t>9</w:t>
                      </w:r>
                    </w:p>
                    <w:p w:rsidR="00FD575C" w:rsidRDefault="00FD575C" w:rsidP="00FD575C"/>
                    <w:p w:rsidR="00FD575C" w:rsidRPr="005B0D5A" w:rsidRDefault="00FD575C" w:rsidP="00FD575C">
                      <w:pPr>
                        <w:rPr>
                          <w:rFonts w:ascii="Arial" w:hAnsi="Arial" w:cs="Arial"/>
                          <w:b/>
                          <w:color w:val="000000"/>
                          <w:sz w:val="16"/>
                          <w:szCs w:val="16"/>
                        </w:rPr>
                      </w:pPr>
                      <w:r>
                        <w:rPr>
                          <w:rFonts w:ascii="Arial" w:hAnsi="Arial" w:cs="Arial"/>
                          <w:b/>
                          <w:color w:val="000000"/>
                          <w:sz w:val="16"/>
                          <w:szCs w:val="16"/>
                        </w:rPr>
                        <w:t>3</w:t>
                      </w:r>
                      <w:r w:rsidRPr="005B0D5A">
                        <w:rPr>
                          <w:rFonts w:ascii="Arial" w:hAnsi="Arial" w:cs="Arial"/>
                          <w:b/>
                          <w:color w:val="000000"/>
                          <w:sz w:val="16"/>
                          <w:szCs w:val="16"/>
                        </w:rPr>
                        <w:t xml:space="preserve"> of </w:t>
                      </w:r>
                      <w:r>
                        <w:rPr>
                          <w:rFonts w:ascii="Arial" w:hAnsi="Arial" w:cs="Arial"/>
                          <w:b/>
                          <w:color w:val="000000"/>
                          <w:sz w:val="16"/>
                          <w:szCs w:val="16"/>
                        </w:rPr>
                        <w:t>4</w:t>
                      </w:r>
                      <w:r w:rsidRPr="005B0D5A">
                        <w:rPr>
                          <w:rFonts w:ascii="Arial" w:hAnsi="Arial" w:cs="Arial"/>
                          <w:b/>
                          <w:color w:val="000000"/>
                          <w:sz w:val="16"/>
                          <w:szCs w:val="16"/>
                        </w:rPr>
                        <w:tab/>
                        <w:t>EEA</w:t>
                      </w:r>
                      <w:r>
                        <w:rPr>
                          <w:rFonts w:ascii="Arial" w:hAnsi="Arial" w:cs="Arial"/>
                          <w:b/>
                          <w:color w:val="000000"/>
                          <w:sz w:val="16"/>
                          <w:szCs w:val="16"/>
                        </w:rPr>
                        <w:t>3</w:t>
                      </w:r>
                    </w:p>
                  </w:txbxContent>
                </v:textbox>
              </v:shape>
            </w:pict>
          </mc:Fallback>
        </mc:AlternateContent>
      </w:r>
    </w:p>
    <w:p w:rsidR="00E72689" w:rsidRDefault="00E72689" w:rsidP="00FD575C"/>
    <w:sectPr w:rsidR="00E726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5C" w:rsidRDefault="00FD575C" w:rsidP="00FD575C">
      <w:pPr>
        <w:spacing w:after="0" w:line="240" w:lineRule="auto"/>
      </w:pPr>
      <w:r>
        <w:separator/>
      </w:r>
    </w:p>
  </w:endnote>
  <w:endnote w:type="continuationSeparator" w:id="0">
    <w:p w:rsidR="00FD575C" w:rsidRDefault="00FD575C" w:rsidP="00FD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5C" w:rsidRDefault="00FD575C" w:rsidP="00FD575C">
      <w:pPr>
        <w:spacing w:after="0" w:line="240" w:lineRule="auto"/>
      </w:pPr>
      <w:r>
        <w:separator/>
      </w:r>
    </w:p>
  </w:footnote>
  <w:footnote w:type="continuationSeparator" w:id="0">
    <w:p w:rsidR="00FD575C" w:rsidRDefault="00FD575C" w:rsidP="00FD575C">
      <w:pPr>
        <w:spacing w:after="0" w:line="240" w:lineRule="auto"/>
      </w:pPr>
      <w:r>
        <w:continuationSeparator/>
      </w:r>
    </w:p>
  </w:footnote>
  <w:footnote w:id="1">
    <w:p w:rsidR="00FD575C" w:rsidRDefault="00FD575C" w:rsidP="00FD575C">
      <w:pPr>
        <w:pStyle w:val="FootnoteText"/>
      </w:pPr>
      <w:r w:rsidRPr="009C7306">
        <w:rPr>
          <w:rStyle w:val="FootnoteReference"/>
          <w:sz w:val="18"/>
          <w:szCs w:val="18"/>
        </w:rPr>
        <w:footnoteRef/>
      </w:r>
      <w:r w:rsidRPr="009C7306">
        <w:rPr>
          <w:sz w:val="18"/>
          <w:szCs w:val="18"/>
        </w:rPr>
        <w:t xml:space="preserve"> </w:t>
      </w:r>
      <w:r w:rsidRPr="009C7306">
        <w:rPr>
          <w:sz w:val="18"/>
          <w:szCs w:val="18"/>
          <w:lang w:val="en-US"/>
        </w:rPr>
        <w:t>The F+1 – F+5 levels are commonly referred to as the G Band in in</w:t>
      </w:r>
      <w:r>
        <w:rPr>
          <w:sz w:val="18"/>
          <w:szCs w:val="18"/>
          <w:lang w:val="en-US"/>
        </w:rPr>
        <w:t xml:space="preserve">dustry and extend beyond </w:t>
      </w:r>
      <w:r w:rsidRPr="00236E53">
        <w:rPr>
          <w:sz w:val="18"/>
          <w:szCs w:val="18"/>
          <w:lang w:val="en-US"/>
        </w:rPr>
        <w:t>the Paterson Classic</w:t>
      </w:r>
      <w:r w:rsidRPr="009C7306">
        <w:rPr>
          <w:sz w:val="18"/>
          <w:szCs w:val="18"/>
          <w:lang w:val="en-US"/>
        </w:rPr>
        <w:t xml:space="preserve"> F5 band.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5C"/>
    <w:rsid w:val="0056389B"/>
    <w:rsid w:val="00E72689"/>
    <w:rsid w:val="00FD57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575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FD575C"/>
    <w:rPr>
      <w:rFonts w:ascii="Calibri" w:eastAsia="Times New Roman" w:hAnsi="Calibri" w:cs="Times New Roman"/>
      <w:sz w:val="20"/>
      <w:szCs w:val="20"/>
    </w:rPr>
  </w:style>
  <w:style w:type="character" w:styleId="FootnoteReference">
    <w:name w:val="footnote reference"/>
    <w:uiPriority w:val="99"/>
    <w:semiHidden/>
    <w:unhideWhenUsed/>
    <w:rsid w:val="00FD575C"/>
    <w:rPr>
      <w:rFonts w:cs="Times New Roman"/>
      <w:vertAlign w:val="superscript"/>
    </w:rPr>
  </w:style>
  <w:style w:type="paragraph" w:styleId="BalloonText">
    <w:name w:val="Balloon Text"/>
    <w:basedOn w:val="Normal"/>
    <w:link w:val="BalloonTextChar"/>
    <w:uiPriority w:val="99"/>
    <w:semiHidden/>
    <w:unhideWhenUsed/>
    <w:rsid w:val="00FD5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5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575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FD575C"/>
    <w:rPr>
      <w:rFonts w:ascii="Calibri" w:eastAsia="Times New Roman" w:hAnsi="Calibri" w:cs="Times New Roman"/>
      <w:sz w:val="20"/>
      <w:szCs w:val="20"/>
    </w:rPr>
  </w:style>
  <w:style w:type="character" w:styleId="FootnoteReference">
    <w:name w:val="footnote reference"/>
    <w:uiPriority w:val="99"/>
    <w:semiHidden/>
    <w:unhideWhenUsed/>
    <w:rsid w:val="00FD575C"/>
    <w:rPr>
      <w:rFonts w:cs="Times New Roman"/>
      <w:vertAlign w:val="superscript"/>
    </w:rPr>
  </w:style>
  <w:style w:type="paragraph" w:styleId="BalloonText">
    <w:name w:val="Balloon Text"/>
    <w:basedOn w:val="Normal"/>
    <w:link w:val="BalloonTextChar"/>
    <w:uiPriority w:val="99"/>
    <w:semiHidden/>
    <w:unhideWhenUsed/>
    <w:rsid w:val="00FD5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7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Dzhombere (HQ)</dc:creator>
  <cp:lastModifiedBy>Lebogang Nawana (HQ)</cp:lastModifiedBy>
  <cp:revision>2</cp:revision>
  <dcterms:created xsi:type="dcterms:W3CDTF">2014-08-07T10:36:00Z</dcterms:created>
  <dcterms:modified xsi:type="dcterms:W3CDTF">2014-08-07T10:36:00Z</dcterms:modified>
</cp:coreProperties>
</file>